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CF29" w14:textId="77777777" w:rsidR="00FA4FA5" w:rsidRDefault="00000000">
      <w:pPr>
        <w:pStyle w:val="Heading4"/>
        <w:ind w:left="6930"/>
        <w:rPr>
          <w:color w:val="1D1F25"/>
          <w:sz w:val="14"/>
          <w:szCs w:val="14"/>
        </w:rPr>
      </w:pPr>
      <w:bookmarkStart w:id="0" w:name="_heading=h.gjdgxs" w:colFirst="0" w:colLast="0"/>
      <w:bookmarkEnd w:id="0"/>
      <w:r>
        <w:rPr>
          <w:color w:val="D24524"/>
          <w:sz w:val="14"/>
          <w:szCs w:val="14"/>
        </w:rPr>
        <w:t>A: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 xml:space="preserve">Podium 9, 530 Collins Street </w:t>
      </w:r>
      <w:r>
        <w:rPr>
          <w:color w:val="1D1F25"/>
        </w:rPr>
        <w:br/>
      </w:r>
      <w:r>
        <w:rPr>
          <w:color w:val="1D1F25"/>
        </w:rPr>
        <w:tab/>
      </w:r>
      <w:r>
        <w:rPr>
          <w:noProof/>
          <w:color w:val="1D1F25"/>
        </w:rPr>
        <w:drawing>
          <wp:anchor distT="57150" distB="57150" distL="57150" distR="57150" simplePos="0" relativeHeight="251658240" behindDoc="0" locked="0" layoutInCell="1" hidden="0" allowOverlap="1" wp14:anchorId="2A3D2750" wp14:editId="0719E5F5">
            <wp:simplePos x="0" y="0"/>
            <wp:positionH relativeFrom="page">
              <wp:posOffset>720000</wp:posOffset>
            </wp:positionH>
            <wp:positionV relativeFrom="page">
              <wp:posOffset>822325</wp:posOffset>
            </wp:positionV>
            <wp:extent cx="2019300" cy="396875"/>
            <wp:effectExtent l="0" t="0" r="0" b="0"/>
            <wp:wrapSquare wrapText="bothSides" distT="57150" distB="57150" distL="57150" distR="5715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2830" t="21076" r="-2830" b="1005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9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1D1F25"/>
          <w:sz w:val="14"/>
          <w:szCs w:val="14"/>
        </w:rPr>
        <w:t>Melbourne</w:t>
      </w:r>
      <w:r>
        <w:rPr>
          <w:color w:val="1D1F25"/>
        </w:rPr>
        <w:t xml:space="preserve"> </w:t>
      </w:r>
      <w:r>
        <w:rPr>
          <w:color w:val="1D1F25"/>
          <w:sz w:val="14"/>
          <w:szCs w:val="14"/>
        </w:rPr>
        <w:t xml:space="preserve">VIC 3000  </w:t>
      </w:r>
    </w:p>
    <w:p w14:paraId="358448F6" w14:textId="77777777" w:rsidR="00FA4FA5" w:rsidRDefault="00000000">
      <w:pPr>
        <w:pStyle w:val="Heading4"/>
        <w:ind w:left="6930"/>
        <w:rPr>
          <w:color w:val="1D1F25"/>
          <w:sz w:val="14"/>
          <w:szCs w:val="14"/>
        </w:rPr>
      </w:pPr>
      <w:bookmarkStart w:id="1" w:name="_heading=h.30j0zll" w:colFirst="0" w:colLast="0"/>
      <w:bookmarkEnd w:id="1"/>
      <w:r>
        <w:rPr>
          <w:color w:val="D24524"/>
          <w:sz w:val="14"/>
          <w:szCs w:val="14"/>
        </w:rPr>
        <w:t>P: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GPO Box 3001</w:t>
      </w:r>
      <w:r>
        <w:rPr>
          <w:color w:val="1D1F25"/>
          <w:sz w:val="14"/>
          <w:szCs w:val="14"/>
        </w:rPr>
        <w:br/>
      </w:r>
      <w:r>
        <w:rPr>
          <w:color w:val="1D1F25"/>
          <w:sz w:val="14"/>
          <w:szCs w:val="14"/>
        </w:rPr>
        <w:tab/>
        <w:t>Melbourne VIC 3001</w:t>
      </w:r>
    </w:p>
    <w:p w14:paraId="2EEFE2E1" w14:textId="77777777" w:rsidR="00FA4FA5" w:rsidRDefault="00000000">
      <w:pPr>
        <w:pStyle w:val="Heading4"/>
        <w:ind w:left="6930"/>
        <w:rPr>
          <w:color w:val="1D1F25"/>
          <w:sz w:val="14"/>
          <w:szCs w:val="14"/>
        </w:rPr>
      </w:pPr>
      <w:bookmarkStart w:id="2" w:name="_heading=h.1fob9te" w:colFirst="0" w:colLast="0"/>
      <w:bookmarkEnd w:id="2"/>
      <w:r>
        <w:rPr>
          <w:color w:val="D24524"/>
          <w:sz w:val="14"/>
          <w:szCs w:val="14"/>
        </w:rPr>
        <w:t>T: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9097 2800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F: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9614 4543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E: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trustees@diversa.com.au</w:t>
      </w:r>
    </w:p>
    <w:p w14:paraId="43DF9F97" w14:textId="77777777" w:rsidR="00FA4FA5" w:rsidRDefault="00000000">
      <w:pPr>
        <w:pStyle w:val="Heading4"/>
        <w:ind w:left="6930"/>
        <w:rPr>
          <w:color w:val="D24524"/>
          <w:sz w:val="14"/>
          <w:szCs w:val="14"/>
        </w:rPr>
      </w:pPr>
      <w:bookmarkStart w:id="3" w:name="_heading=h.3znysh7" w:colFirst="0" w:colLast="0"/>
      <w:bookmarkEnd w:id="3"/>
      <w:r>
        <w:rPr>
          <w:color w:val="D24524"/>
          <w:sz w:val="14"/>
          <w:szCs w:val="14"/>
        </w:rPr>
        <w:t>diversa.com.au/trustee</w:t>
      </w:r>
    </w:p>
    <w:p w14:paraId="74FA3320" w14:textId="77777777" w:rsidR="00FA4FA5" w:rsidRDefault="00FA4FA5"/>
    <w:p w14:paraId="3D885992" w14:textId="77777777" w:rsidR="00FA4FA5" w:rsidRDefault="00000000">
      <w:pPr>
        <w:pStyle w:val="Heading1"/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7979CD5" wp14:editId="5E684D07">
            <wp:simplePos x="0" y="0"/>
            <wp:positionH relativeFrom="page">
              <wp:posOffset>5284950</wp:posOffset>
            </wp:positionH>
            <wp:positionV relativeFrom="page">
              <wp:posOffset>9354119</wp:posOffset>
            </wp:positionV>
            <wp:extent cx="2101544" cy="728094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502" r="503"/>
                    <a:stretch>
                      <a:fillRect/>
                    </a:stretch>
                  </pic:blipFill>
                  <pic:spPr>
                    <a:xfrm>
                      <a:off x="0" y="0"/>
                      <a:ext cx="2101544" cy="728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625FE17A" wp14:editId="135A00A8">
            <wp:simplePos x="0" y="0"/>
            <wp:positionH relativeFrom="page">
              <wp:posOffset>170025</wp:posOffset>
            </wp:positionH>
            <wp:positionV relativeFrom="page">
              <wp:posOffset>10164865</wp:posOffset>
            </wp:positionV>
            <wp:extent cx="7219950" cy="354295"/>
            <wp:effectExtent l="0" t="0" r="0" b="0"/>
            <wp:wrapSquare wrapText="bothSides" distT="0" distB="0" distL="0" distR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914" r="913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35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Significant Event Notice (SEN) &amp; Material Change Register</w:t>
      </w:r>
    </w:p>
    <w:p w14:paraId="32E11520" w14:textId="77777777" w:rsidR="00FA4FA5" w:rsidRDefault="00000000">
      <w:pPr>
        <w:pStyle w:val="Subtitle"/>
        <w:jc w:val="center"/>
      </w:pPr>
      <w:proofErr w:type="spellStart"/>
      <w:r>
        <w:t>Smartsave</w:t>
      </w:r>
      <w:proofErr w:type="spellEnd"/>
      <w:r>
        <w:t xml:space="preserve"> (a sub plan of </w:t>
      </w:r>
      <w:proofErr w:type="spellStart"/>
      <w:r>
        <w:t>OneSuper</w:t>
      </w:r>
      <w:proofErr w:type="spellEnd"/>
      <w:r>
        <w:t>)</w:t>
      </w:r>
    </w:p>
    <w:p w14:paraId="7FF4335B" w14:textId="77777777" w:rsidR="00FA4FA5" w:rsidRDefault="00000000">
      <w:pPr>
        <w:pStyle w:val="Subtitle"/>
        <w:jc w:val="center"/>
      </w:pPr>
      <w:r>
        <w:t>ABN 43 905 581 638</w:t>
      </w:r>
      <w:r>
        <w:tab/>
        <w:t>R1001341</w:t>
      </w:r>
    </w:p>
    <w:p w14:paraId="566315E1" w14:textId="77777777" w:rsidR="00FA4FA5" w:rsidRDefault="00000000">
      <w:r>
        <w:t>This information is provided as required under SIS Reg 2.38 Obligation to make information publicly available — RSE licensee of registrable superannuation entity, and specifically under (2)(h) a summary of each significant event or material change notice made to members within the previous 2 years.</w:t>
      </w:r>
    </w:p>
    <w:tbl>
      <w:tblPr>
        <w:tblStyle w:val="a"/>
        <w:tblW w:w="9633" w:type="dxa"/>
        <w:tblBorders>
          <w:top w:val="single" w:sz="4" w:space="0" w:color="ED7D31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251"/>
      </w:tblGrid>
      <w:tr w:rsidR="00FA4FA5" w14:paraId="3792403C" w14:textId="77777777" w:rsidTr="00FA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left w:val="nil"/>
              <w:bottom w:val="nil"/>
            </w:tcBorders>
            <w:shd w:val="clear" w:color="auto" w:fill="FA613B"/>
          </w:tcPr>
          <w:p w14:paraId="324B4144" w14:textId="77777777" w:rsidR="00FA4FA5" w:rsidRDefault="00000000">
            <w:pPr>
              <w:rPr>
                <w:rFonts w:ascii="Work Sans" w:eastAsia="Work Sans" w:hAnsi="Work Sans" w:cs="Work Sans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sz w:val="21"/>
                <w:szCs w:val="21"/>
              </w:rPr>
              <w:t>Notice Date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A613B"/>
          </w:tcPr>
          <w:p w14:paraId="0C139018" w14:textId="77777777" w:rsidR="00FA4FA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sz w:val="21"/>
                <w:szCs w:val="21"/>
              </w:rPr>
              <w:t>Nature of change or event</w:t>
            </w:r>
          </w:p>
        </w:tc>
        <w:tc>
          <w:tcPr>
            <w:tcW w:w="4251" w:type="dxa"/>
            <w:tcBorders>
              <w:top w:val="nil"/>
              <w:bottom w:val="nil"/>
              <w:right w:val="nil"/>
            </w:tcBorders>
            <w:shd w:val="clear" w:color="auto" w:fill="FA613B"/>
          </w:tcPr>
          <w:p w14:paraId="658B99A5" w14:textId="77777777" w:rsidR="00FA4FA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sz w:val="21"/>
                <w:szCs w:val="21"/>
              </w:rPr>
              <w:t>Impact</w:t>
            </w:r>
          </w:p>
        </w:tc>
      </w:tr>
      <w:tr w:rsidR="00FA4FA5" w14:paraId="24B76FFA" w14:textId="77777777" w:rsidTr="00F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B709DA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24 April 2020</w:t>
            </w:r>
          </w:p>
        </w:tc>
        <w:tc>
          <w:tcPr>
            <w:tcW w:w="3544" w:type="dxa"/>
          </w:tcPr>
          <w:p w14:paraId="0901B1B0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Product Update Notice to advise the change to Buy/Sell spreads from 24 April 2020</w:t>
            </w:r>
          </w:p>
        </w:tc>
        <w:tc>
          <w:tcPr>
            <w:tcW w:w="4251" w:type="dxa"/>
          </w:tcPr>
          <w:p w14:paraId="210A56FA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The Buy/Sell </w:t>
            </w:r>
            <w:proofErr w:type="gram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spread  will</w:t>
            </w:r>
            <w:proofErr w:type="gramEnd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 change from 1 April 2020 impacting the cost to transact.</w:t>
            </w:r>
          </w:p>
        </w:tc>
      </w:tr>
      <w:tr w:rsidR="00FA4FA5" w14:paraId="5BED4411" w14:textId="77777777" w:rsidTr="00FA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4FA007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1 December 2020</w:t>
            </w:r>
          </w:p>
        </w:tc>
        <w:tc>
          <w:tcPr>
            <w:tcW w:w="3544" w:type="dxa"/>
          </w:tcPr>
          <w:p w14:paraId="05BAF258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The name of the Fund is changing from </w:t>
            </w:r>
            <w:proofErr w:type="spell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Smartsave</w:t>
            </w:r>
            <w:proofErr w:type="spellEnd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 'Member's Choice' Superannuation Master Plan to </w:t>
            </w:r>
            <w:proofErr w:type="spell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OneSuper</w:t>
            </w:r>
            <w:proofErr w:type="spellEnd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 from 1 December 2020, a new website is available and the date for pension payments is changing</w:t>
            </w:r>
          </w:p>
        </w:tc>
        <w:tc>
          <w:tcPr>
            <w:tcW w:w="4251" w:type="dxa"/>
          </w:tcPr>
          <w:p w14:paraId="6FEFC1DE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The Fund Name has changed to </w:t>
            </w:r>
            <w:proofErr w:type="spell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OneSuper</w:t>
            </w:r>
            <w:proofErr w:type="spellEnd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. Members can access fund information via a new website. The date that monthly pension payments will be made is changing from the 15th to the 25th of each month</w:t>
            </w:r>
          </w:p>
        </w:tc>
      </w:tr>
      <w:tr w:rsidR="00FA4FA5" w14:paraId="3EA7A69A" w14:textId="77777777" w:rsidTr="00F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591D50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1 February 2021</w:t>
            </w:r>
          </w:p>
        </w:tc>
        <w:tc>
          <w:tcPr>
            <w:tcW w:w="3544" w:type="dxa"/>
          </w:tcPr>
          <w:p w14:paraId="4DC6576F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Changes to Buy/Sell spreads from 1 February 2021</w:t>
            </w:r>
          </w:p>
        </w:tc>
        <w:tc>
          <w:tcPr>
            <w:tcW w:w="4251" w:type="dxa"/>
          </w:tcPr>
          <w:p w14:paraId="4D152134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The Buy/Sell spread will change from 1 February 2021 impacting the cost to transact</w:t>
            </w:r>
          </w:p>
        </w:tc>
      </w:tr>
      <w:tr w:rsidR="00FA4FA5" w14:paraId="04F8445B" w14:textId="77777777" w:rsidTr="00FA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0AF2C33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1 October 2021</w:t>
            </w:r>
          </w:p>
        </w:tc>
        <w:tc>
          <w:tcPr>
            <w:tcW w:w="3544" w:type="dxa"/>
          </w:tcPr>
          <w:p w14:paraId="1B3F7A98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SEN to advise the increase in the premium rates effective from 1 November 2021 for the </w:t>
            </w:r>
            <w:proofErr w:type="spell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Smartsave</w:t>
            </w:r>
            <w:proofErr w:type="spellEnd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 xml:space="preserve"> sub plan of </w:t>
            </w:r>
            <w:proofErr w:type="spellStart"/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OneSuper</w:t>
            </w:r>
            <w:proofErr w:type="spellEnd"/>
          </w:p>
        </w:tc>
        <w:tc>
          <w:tcPr>
            <w:tcW w:w="4251" w:type="dxa"/>
          </w:tcPr>
          <w:p w14:paraId="6D4ED96E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The premiums paid by members for Death, Total &amp; Permanent Disability and Income Protection cover will increase</w:t>
            </w:r>
          </w:p>
        </w:tc>
      </w:tr>
      <w:tr w:rsidR="00FA4FA5" w14:paraId="54869BE3" w14:textId="77777777" w:rsidTr="00F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63000B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lastRenderedPageBreak/>
              <w:t>5 October 2021</w:t>
            </w:r>
          </w:p>
        </w:tc>
        <w:tc>
          <w:tcPr>
            <w:tcW w:w="3544" w:type="dxa"/>
          </w:tcPr>
          <w:p w14:paraId="48058D8C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Replacement of the “duty of disclosure” with a “duty to take reasonable care not to make a misrepresentation” in the Insurance Contracts Act 1984</w:t>
            </w:r>
          </w:p>
        </w:tc>
        <w:tc>
          <w:tcPr>
            <w:tcW w:w="4251" w:type="dxa"/>
          </w:tcPr>
          <w:p w14:paraId="18140EC0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Insurance applications completed or received on or after 5 October 2021, there is a “duty to take reasonable care not to make a misrepresentation”</w:t>
            </w:r>
          </w:p>
        </w:tc>
      </w:tr>
      <w:tr w:rsidR="00FA4FA5" w14:paraId="1A3DC06A" w14:textId="77777777" w:rsidTr="00FA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F4B083"/>
            </w:tcBorders>
          </w:tcPr>
          <w:p w14:paraId="4B173FE3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1 April 2022</w:t>
            </w:r>
          </w:p>
        </w:tc>
        <w:tc>
          <w:tcPr>
            <w:tcW w:w="3544" w:type="dxa"/>
            <w:tcBorders>
              <w:top w:val="single" w:sz="4" w:space="0" w:color="F4B083"/>
            </w:tcBorders>
          </w:tcPr>
          <w:p w14:paraId="55FABAEF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Product Update Notice to advise the change to Administration Fees from 1 April 2020</w:t>
            </w:r>
          </w:p>
        </w:tc>
        <w:tc>
          <w:tcPr>
            <w:tcW w:w="4251" w:type="dxa"/>
            <w:tcBorders>
              <w:top w:val="single" w:sz="4" w:space="0" w:color="F4B083"/>
            </w:tcBorders>
          </w:tcPr>
          <w:p w14:paraId="0EE24A01" w14:textId="77777777" w:rsidR="00FA4FA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The administration fees paid by members will decrease</w:t>
            </w:r>
          </w:p>
        </w:tc>
      </w:tr>
      <w:tr w:rsidR="00FA4FA5" w14:paraId="06017BBD" w14:textId="77777777" w:rsidTr="00EE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F4B083"/>
            </w:tcBorders>
            <w:shd w:val="clear" w:color="auto" w:fill="FDE9D9" w:themeFill="accent6" w:themeFillTint="33"/>
          </w:tcPr>
          <w:p w14:paraId="4E0B50E3" w14:textId="77777777" w:rsidR="00FA4FA5" w:rsidRDefault="00000000">
            <w:pP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b w:val="0"/>
                <w:color w:val="1D1F25"/>
                <w:sz w:val="21"/>
                <w:szCs w:val="21"/>
              </w:rPr>
              <w:t>31 August 2022</w:t>
            </w:r>
          </w:p>
        </w:tc>
        <w:tc>
          <w:tcPr>
            <w:tcW w:w="3544" w:type="dxa"/>
            <w:tcBorders>
              <w:top w:val="single" w:sz="4" w:space="0" w:color="F4B083"/>
            </w:tcBorders>
            <w:shd w:val="clear" w:color="auto" w:fill="FDE9D9" w:themeFill="accent6" w:themeFillTint="33"/>
          </w:tcPr>
          <w:p w14:paraId="232AFF04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SEN to Ex-MAP Super members the change of insurer to MLC and the increase in premium rates effective from 1 October 2022</w:t>
            </w:r>
          </w:p>
        </w:tc>
        <w:tc>
          <w:tcPr>
            <w:tcW w:w="4251" w:type="dxa"/>
            <w:tcBorders>
              <w:top w:val="single" w:sz="4" w:space="0" w:color="F4B083"/>
            </w:tcBorders>
          </w:tcPr>
          <w:p w14:paraId="4385FB2B" w14:textId="77777777" w:rsidR="00FA4FA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</w:pPr>
            <w:r>
              <w:rPr>
                <w:rFonts w:ascii="Work Sans" w:eastAsia="Work Sans" w:hAnsi="Work Sans" w:cs="Work Sans"/>
                <w:color w:val="1D1F25"/>
                <w:sz w:val="21"/>
                <w:szCs w:val="21"/>
              </w:rPr>
              <w:t>The insurer has changed to MLC and premiums paid by members for Death, Total &amp; Permanent Disability cover will increase from 1 October 2022</w:t>
            </w:r>
          </w:p>
        </w:tc>
      </w:tr>
    </w:tbl>
    <w:tbl>
      <w:tblPr>
        <w:tblW w:w="9633" w:type="dxa"/>
        <w:tblInd w:w="-5" w:type="dxa"/>
        <w:tblBorders>
          <w:top w:val="single" w:sz="4" w:space="0" w:color="ED7D31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251"/>
      </w:tblGrid>
      <w:tr w:rsidR="00C84BDD" w14:paraId="764EE39B" w14:textId="77777777" w:rsidTr="00C84BDD">
        <w:tc>
          <w:tcPr>
            <w:tcW w:w="1838" w:type="dxa"/>
            <w:tcBorders>
              <w:top w:val="single" w:sz="4" w:space="0" w:color="F4B083"/>
            </w:tcBorders>
          </w:tcPr>
          <w:p w14:paraId="031226DC" w14:textId="45A6343E" w:rsidR="00C84BDD" w:rsidRDefault="00C84BDD" w:rsidP="008513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August 2023</w:t>
            </w:r>
          </w:p>
        </w:tc>
        <w:tc>
          <w:tcPr>
            <w:tcW w:w="3544" w:type="dxa"/>
            <w:tcBorders>
              <w:top w:val="single" w:sz="4" w:space="0" w:color="F4B083"/>
            </w:tcBorders>
          </w:tcPr>
          <w:p w14:paraId="6A6965C4" w14:textId="18D5B5B6" w:rsidR="00C84BDD" w:rsidRDefault="00C84BDD" w:rsidP="00C84BD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SEN to </w:t>
            </w:r>
            <w:proofErr w:type="spellStart"/>
            <w:r>
              <w:rPr>
                <w:sz w:val="21"/>
                <w:szCs w:val="21"/>
              </w:rPr>
              <w:t>Smartsave</w:t>
            </w:r>
            <w:proofErr w:type="spellEnd"/>
            <w:r>
              <w:rPr>
                <w:sz w:val="21"/>
                <w:szCs w:val="21"/>
              </w:rPr>
              <w:t xml:space="preserve"> members confirming the change to investment options in </w:t>
            </w:r>
            <w:proofErr w:type="spellStart"/>
            <w:r>
              <w:rPr>
                <w:sz w:val="21"/>
                <w:szCs w:val="21"/>
              </w:rPr>
              <w:t>Smartsave</w:t>
            </w:r>
            <w:proofErr w:type="spellEnd"/>
            <w:r>
              <w:rPr>
                <w:sz w:val="21"/>
                <w:szCs w:val="21"/>
              </w:rPr>
              <w:t xml:space="preserve"> effective 22 September 2023</w:t>
            </w:r>
          </w:p>
        </w:tc>
        <w:tc>
          <w:tcPr>
            <w:tcW w:w="4251" w:type="dxa"/>
            <w:tcBorders>
              <w:top w:val="single" w:sz="4" w:space="0" w:color="F4B083"/>
            </w:tcBorders>
          </w:tcPr>
          <w:p w14:paraId="6871F19C" w14:textId="35D013A8" w:rsidR="00C84BDD" w:rsidRDefault="00C84BDD" w:rsidP="00C84BD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Members investment option menu will be changing</w:t>
            </w:r>
          </w:p>
        </w:tc>
      </w:tr>
      <w:tr w:rsidR="00EE3850" w:rsidRPr="00EE3850" w14:paraId="46234D63" w14:textId="77777777" w:rsidTr="00EE3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single" w:sz="4" w:space="0" w:color="F4B0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6B42A9F" w14:textId="52BFB825" w:rsidR="00EE3850" w:rsidRPr="00EE3850" w:rsidRDefault="00EE3850" w:rsidP="00EE3850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October 2023</w:t>
            </w:r>
          </w:p>
        </w:tc>
        <w:tc>
          <w:tcPr>
            <w:tcW w:w="3544" w:type="dxa"/>
            <w:tcBorders>
              <w:top w:val="single" w:sz="4" w:space="0" w:color="F4B0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8D3DEBE" w14:textId="77C3C2FC" w:rsidR="00EE3850" w:rsidRPr="00EE3850" w:rsidRDefault="00EE3850" w:rsidP="00EE385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E3850">
              <w:rPr>
                <w:bCs/>
                <w:sz w:val="21"/>
                <w:szCs w:val="21"/>
              </w:rPr>
              <w:t xml:space="preserve">SEN to </w:t>
            </w:r>
            <w:proofErr w:type="spellStart"/>
            <w:r>
              <w:rPr>
                <w:bCs/>
                <w:sz w:val="21"/>
                <w:szCs w:val="21"/>
              </w:rPr>
              <w:t>Smartsave</w:t>
            </w:r>
            <w:proofErr w:type="spellEnd"/>
            <w:r w:rsidRPr="00EE3850">
              <w:rPr>
                <w:bCs/>
                <w:sz w:val="21"/>
                <w:szCs w:val="21"/>
              </w:rPr>
              <w:t xml:space="preserve"> members </w:t>
            </w:r>
            <w:r>
              <w:rPr>
                <w:bCs/>
                <w:sz w:val="21"/>
                <w:szCs w:val="21"/>
              </w:rPr>
              <w:t xml:space="preserve">confirming they are moving to Superhero under </w:t>
            </w:r>
            <w:proofErr w:type="spellStart"/>
            <w:r>
              <w:rPr>
                <w:bCs/>
                <w:sz w:val="21"/>
                <w:szCs w:val="21"/>
              </w:rPr>
              <w:t>OneSuper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  <w:r w:rsidRPr="00EE3850">
              <w:rPr>
                <w:bCs/>
                <w:sz w:val="21"/>
                <w:szCs w:val="21"/>
              </w:rPr>
              <w:t xml:space="preserve">effective from 1 </w:t>
            </w:r>
            <w:r>
              <w:rPr>
                <w:bCs/>
                <w:sz w:val="21"/>
                <w:szCs w:val="21"/>
              </w:rPr>
              <w:t xml:space="preserve">December </w:t>
            </w:r>
            <w:r w:rsidRPr="00EE3850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4251" w:type="dxa"/>
            <w:tcBorders>
              <w:top w:val="single" w:sz="4" w:space="0" w:color="F4B08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14F5B7" w14:textId="10AE780B" w:rsidR="00EE3850" w:rsidRPr="00EE3850" w:rsidRDefault="00EE3850" w:rsidP="00EE3850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Members will become members of Superhero effective 1 December 2023</w:t>
            </w:r>
          </w:p>
        </w:tc>
      </w:tr>
    </w:tbl>
    <w:p w14:paraId="01F4B058" w14:textId="77777777" w:rsidR="00FA4FA5" w:rsidRDefault="00FA4FA5"/>
    <w:p w14:paraId="231DD9AA" w14:textId="77777777" w:rsidR="00FA4FA5" w:rsidRDefault="00FA4FA5"/>
    <w:p w14:paraId="4B34235B" w14:textId="77777777" w:rsidR="00FA4FA5" w:rsidRDefault="00FA4FA5"/>
    <w:sectPr w:rsidR="00FA4FA5">
      <w:footerReference w:type="default" r:id="rId10"/>
      <w:headerReference w:type="first" r:id="rId11"/>
      <w:footerReference w:type="first" r:id="rId12"/>
      <w:pgSz w:w="11909" w:h="16834"/>
      <w:pgMar w:top="992" w:right="1133" w:bottom="2383" w:left="1133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CA1D" w14:textId="77777777" w:rsidR="00E03175" w:rsidRDefault="00E03175">
      <w:pPr>
        <w:spacing w:after="0" w:line="240" w:lineRule="auto"/>
      </w:pPr>
      <w:r>
        <w:separator/>
      </w:r>
    </w:p>
  </w:endnote>
  <w:endnote w:type="continuationSeparator" w:id="0">
    <w:p w14:paraId="1194244E" w14:textId="77777777" w:rsidR="00E03175" w:rsidRDefault="00E0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FC68" w14:textId="77777777" w:rsidR="00FA4FA5" w:rsidRDefault="00000000">
    <w:pPr>
      <w:spacing w:before="240" w:after="0" w:line="276" w:lineRule="auto"/>
      <w:rPr>
        <w:color w:val="656A74"/>
        <w:sz w:val="14"/>
        <w:szCs w:val="14"/>
      </w:rPr>
    </w:pPr>
    <w:r>
      <w:rPr>
        <w:color w:val="656A74"/>
        <w:sz w:val="14"/>
        <w:szCs w:val="14"/>
      </w:rPr>
      <w:t xml:space="preserve">RSE Licence L0000635 </w:t>
    </w:r>
    <w:r>
      <w:rPr>
        <w:color w:val="656A74"/>
        <w:sz w:val="14"/>
        <w:szCs w:val="14"/>
      </w:rPr>
      <w:br/>
      <w:t>AFS Licence 234153</w:t>
    </w:r>
    <w:r>
      <w:rPr>
        <w:color w:val="656A74"/>
        <w:sz w:val="14"/>
        <w:szCs w:val="14"/>
      </w:rPr>
      <w:br/>
      <w:t>Diversa Trustees Ltd ABN 49 006 421 638</w:t>
    </w:r>
    <w:r>
      <w:rPr>
        <w:color w:val="656A74"/>
        <w:sz w:val="14"/>
        <w:szCs w:val="14"/>
      </w:rPr>
      <w:br/>
    </w:r>
    <w:r>
      <w:rPr>
        <w:color w:val="656A74"/>
        <w:sz w:val="14"/>
        <w:szCs w:val="14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AA9AA86" wp14:editId="09FFBE3C">
          <wp:simplePos x="0" y="0"/>
          <wp:positionH relativeFrom="column">
            <wp:posOffset>4552950</wp:posOffset>
          </wp:positionH>
          <wp:positionV relativeFrom="paragraph">
            <wp:posOffset>85727</wp:posOffset>
          </wp:positionV>
          <wp:extent cx="2116053" cy="726273"/>
          <wp:effectExtent l="0" t="0" r="0" b="0"/>
          <wp:wrapSquare wrapText="bothSides" distT="114300" distB="11430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6053" cy="7262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26A1" w14:textId="77777777" w:rsidR="00FA4FA5" w:rsidRDefault="00000000">
    <w:pPr>
      <w:spacing w:before="240" w:after="0" w:line="276" w:lineRule="auto"/>
      <w:rPr>
        <w:color w:val="07262D"/>
        <w:sz w:val="18"/>
        <w:szCs w:val="18"/>
      </w:rPr>
    </w:pPr>
    <w:r>
      <w:rPr>
        <w:color w:val="07262D"/>
        <w:sz w:val="18"/>
        <w:szCs w:val="18"/>
      </w:rPr>
      <w:t xml:space="preserve">RSE Licence L0000635 </w:t>
    </w:r>
    <w:r>
      <w:rPr>
        <w:color w:val="07262D"/>
        <w:sz w:val="18"/>
        <w:szCs w:val="18"/>
      </w:rPr>
      <w:br/>
      <w:t>AFS Licence 234153</w:t>
    </w:r>
    <w:r>
      <w:rPr>
        <w:color w:val="07262D"/>
        <w:sz w:val="18"/>
        <w:szCs w:val="18"/>
      </w:rPr>
      <w:br/>
      <w:t>Diversa Trustees Ltd ABN 49 006 421 638</w:t>
    </w:r>
    <w:r>
      <w:rPr>
        <w:color w:val="07262D"/>
        <w:sz w:val="18"/>
        <w:szCs w:val="18"/>
      </w:rPr>
      <w:br/>
    </w:r>
  </w:p>
  <w:p w14:paraId="1B97B8BF" w14:textId="77777777" w:rsidR="00FA4FA5" w:rsidRDefault="00FA4FA5">
    <w:pPr>
      <w:spacing w:before="240" w:after="0" w:line="276" w:lineRule="auto"/>
      <w:rPr>
        <w:color w:val="656A74"/>
        <w:sz w:val="14"/>
        <w:szCs w:val="14"/>
      </w:rPr>
    </w:pPr>
  </w:p>
  <w:p w14:paraId="26972B17" w14:textId="77777777" w:rsidR="00FA4FA5" w:rsidRDefault="00FA4FA5">
    <w:pPr>
      <w:spacing w:before="240" w:after="0" w:line="276" w:lineRule="auto"/>
      <w:rPr>
        <w:color w:val="656A7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1585" w14:textId="77777777" w:rsidR="00E03175" w:rsidRDefault="00E03175">
      <w:pPr>
        <w:spacing w:after="0" w:line="240" w:lineRule="auto"/>
      </w:pPr>
      <w:r>
        <w:separator/>
      </w:r>
    </w:p>
  </w:footnote>
  <w:footnote w:type="continuationSeparator" w:id="0">
    <w:p w14:paraId="4B2D1D8D" w14:textId="77777777" w:rsidR="00E03175" w:rsidRDefault="00E0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4EBE" w14:textId="77777777" w:rsidR="00FA4FA5" w:rsidRDefault="00FA4FA5">
    <w:pPr>
      <w:pStyle w:val="Heading4"/>
      <w:ind w:firstLine="7653"/>
    </w:pPr>
    <w:bookmarkStart w:id="4" w:name="_heading=h.2et92p0" w:colFirst="0" w:colLast="0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A5"/>
    <w:rsid w:val="00C84BDD"/>
    <w:rsid w:val="00E03175"/>
    <w:rsid w:val="00E30C62"/>
    <w:rsid w:val="00EE3850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084B"/>
  <w15:docId w15:val="{46EDA683-E50E-456B-83B9-A32BB57E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="Work Sans" w:hAnsi="Work Sans" w:cs="Work Sans"/>
        <w:color w:val="1D1F25"/>
        <w:lang w:val="en-GB" w:eastAsia="en-AU" w:bidi="ar-SA"/>
      </w:rPr>
    </w:rPrDefault>
    <w:pPrDefault>
      <w:pPr>
        <w:spacing w:after="3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rFonts w:ascii="Poppins SemiBold" w:eastAsia="Poppins SemiBold" w:hAnsi="Poppins SemiBold" w:cs="Poppins SemiBold"/>
      <w:color w:val="03828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Poppins SemiBold" w:eastAsia="Poppins SemiBold" w:hAnsi="Poppins SemiBold" w:cs="Poppins SemiBold"/>
      <w:color w:val="038286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Poppins SemiBold" w:eastAsia="Poppins SemiBold" w:hAnsi="Poppins SemiBold" w:cs="Poppins SemiBold"/>
      <w:color w:val="0C455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ind w:left="7653"/>
      <w:outlineLvl w:val="3"/>
    </w:pPr>
    <w:rPr>
      <w:rFonts w:ascii="Poppins SemiBold" w:eastAsia="Poppins SemiBold" w:hAnsi="Poppins SemiBold" w:cs="Poppins SemiBold"/>
      <w:color w:val="038286"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rFonts w:ascii="Poppins Medium" w:eastAsia="Poppins Medium" w:hAnsi="Poppins Medium" w:cs="Poppins Medium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536CA"/>
    <w:rPr>
      <w:rFonts w:ascii="Poppins SemiBold" w:eastAsia="Poppins SemiBold" w:hAnsi="Poppins SemiBold" w:cs="Poppins SemiBold"/>
      <w:color w:val="03828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536CA"/>
    <w:rPr>
      <w:rFonts w:ascii="Arial" w:eastAsia="Arial" w:hAnsi="Arial" w:cs="Arial"/>
      <w:color w:val="666666"/>
      <w:sz w:val="30"/>
      <w:szCs w:val="30"/>
    </w:rPr>
  </w:style>
  <w:style w:type="table" w:styleId="GridTable4-Accent6">
    <w:name w:val="Grid Table 4 Accent 6"/>
    <w:basedOn w:val="TableNormal"/>
    <w:uiPriority w:val="49"/>
    <w:rsid w:val="004536CA"/>
    <w:pPr>
      <w:spacing w:after="0" w:line="240" w:lineRule="auto"/>
    </w:pPr>
    <w:tblPr>
      <w:tblStyleRowBandSize w:val="1"/>
      <w:tblStyleColBandSize w:val="1"/>
      <w:tblBorders>
        <w:top w:val="single" w:sz="4" w:space="0" w:color="FA613B"/>
        <w:left w:val="single" w:sz="4" w:space="0" w:color="FA613B"/>
        <w:bottom w:val="single" w:sz="4" w:space="0" w:color="FA613B"/>
        <w:right w:val="single" w:sz="4" w:space="0" w:color="FA613B"/>
        <w:insideH w:val="single" w:sz="4" w:space="0" w:color="FA613B"/>
        <w:insideV w:val="single" w:sz="4" w:space="0" w:color="FA613B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ED"/>
  </w:style>
  <w:style w:type="paragraph" w:styleId="Footer">
    <w:name w:val="footer"/>
    <w:basedOn w:val="Normal"/>
    <w:link w:val="Foot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ED"/>
  </w:style>
  <w:style w:type="table" w:styleId="GridTable4-Accent2">
    <w:name w:val="Grid Table 4 Accent 2"/>
    <w:basedOn w:val="TableNormal"/>
    <w:uiPriority w:val="49"/>
    <w:rsid w:val="00121D6C"/>
    <w:pPr>
      <w:spacing w:after="0" w:line="240" w:lineRule="auto"/>
    </w:pPr>
    <w:rPr>
      <w:rFonts w:ascii="Calibri" w:eastAsia="Calibri" w:hAnsi="Calibri" w:cs="Times New Roman"/>
      <w:color w:val="auto"/>
      <w:lang w:val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Grid">
    <w:name w:val="Table Grid"/>
    <w:basedOn w:val="TableNormal"/>
    <w:uiPriority w:val="39"/>
    <w:rsid w:val="0012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FF"/>
    <w:rPr>
      <w:rFonts w:ascii="Segoe UI" w:hAnsi="Segoe UI" w:cs="Segoe UI"/>
      <w:sz w:val="18"/>
      <w:szCs w:val="1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eY2xoyITb9EYZuHJ/8G2PYC4w==">CgMxLjAyCGguZ2pkZ3hzMgloLjMwajB6bGwyCWguMWZvYjl0ZTIJaC4zem55c2g3MgloLjJldDkycDA4AHIhMTZ5dmZKVUd6QlIzWHV5anJrUUdHWWdkYzA1emV6MUxH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Speed</dc:creator>
  <cp:lastModifiedBy>Mark Grech</cp:lastModifiedBy>
  <cp:revision>2</cp:revision>
  <cp:lastPrinted>2023-10-30T21:22:00Z</cp:lastPrinted>
  <dcterms:created xsi:type="dcterms:W3CDTF">2023-10-30T21:23:00Z</dcterms:created>
  <dcterms:modified xsi:type="dcterms:W3CDTF">2023-10-30T21:23:00Z</dcterms:modified>
</cp:coreProperties>
</file>